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8225"/>
      </w:tblGrid>
      <w:tr w:rsidR="00AF229F" w:rsidRPr="009602BC" w:rsidTr="002C1706">
        <w:trPr>
          <w:trHeight w:val="977"/>
          <w:tblCellSpacing w:w="0" w:type="dxa"/>
        </w:trPr>
        <w:tc>
          <w:tcPr>
            <w:tcW w:w="1970" w:type="pct"/>
            <w:shd w:val="clear" w:color="auto" w:fill="auto"/>
            <w:hideMark/>
          </w:tcPr>
          <w:p w:rsidR="007835D6" w:rsidRDefault="002C1706" w:rsidP="002C1706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"/>
              </w:rPr>
              <w:t xml:space="preserve">UBND </w:t>
            </w:r>
            <w:r w:rsidR="007835D6" w:rsidRPr="00C153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"/>
              </w:rPr>
              <w:t>TỈNH VĨNH LONG</w:t>
            </w:r>
          </w:p>
          <w:p w:rsidR="00C153E8" w:rsidRPr="00C153E8" w:rsidRDefault="00C153E8" w:rsidP="002C170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53E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6596E" wp14:editId="5B319D3D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219075</wp:posOffset>
                      </wp:positionV>
                      <wp:extent cx="12287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3pt,17.25pt" to="183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" strokecolor="black [3040]"/>
                  </w:pict>
                </mc:Fallback>
              </mc:AlternateContent>
            </w:r>
            <w:r w:rsidRPr="00C15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SỞ NÔNG NGHIỆP </w:t>
            </w:r>
            <w:r w:rsid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 xml:space="preserve">VÀ </w:t>
            </w:r>
            <w:r w:rsidRPr="00C15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MÔI TRƯỜNG</w:t>
            </w:r>
          </w:p>
        </w:tc>
        <w:tc>
          <w:tcPr>
            <w:tcW w:w="3030" w:type="pct"/>
            <w:shd w:val="clear" w:color="auto" w:fill="auto"/>
            <w:hideMark/>
          </w:tcPr>
          <w:p w:rsidR="009602BC" w:rsidRPr="009602BC" w:rsidRDefault="007835D6" w:rsidP="002C1706">
            <w:pPr>
              <w:spacing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61375E" wp14:editId="3095F0FC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422910</wp:posOffset>
                      </wp:positionV>
                      <wp:extent cx="21590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95pt,33.3pt" to="290.9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" strokecolor="black [3040]"/>
                  </w:pict>
                </mc:Fallback>
              </mc:AlternateContent>
            </w:r>
            <w:r w:rsidR="00AF229F"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"/>
              </w:rPr>
              <w:t>C</w:t>
            </w:r>
            <w:r w:rsidR="00AF229F"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ỘNG H</w:t>
            </w:r>
            <w:r w:rsidR="00AF229F"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ÒA XÃ H</w:t>
            </w:r>
            <w:r w:rsidR="00AF229F"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ỘI CHỦ NGHĨA VIỆT NAM</w:t>
            </w:r>
            <w:r w:rsidR="00AF229F"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úc</w:t>
            </w:r>
          </w:p>
        </w:tc>
      </w:tr>
      <w:tr w:rsidR="00AF229F" w:rsidRPr="009602BC" w:rsidTr="002C1706">
        <w:trPr>
          <w:tblCellSpacing w:w="0" w:type="dxa"/>
        </w:trPr>
        <w:tc>
          <w:tcPr>
            <w:tcW w:w="1970" w:type="pct"/>
            <w:shd w:val="clear" w:color="auto" w:fill="auto"/>
            <w:hideMark/>
          </w:tcPr>
          <w:p w:rsidR="009602BC" w:rsidRPr="009602BC" w:rsidRDefault="00AF229F" w:rsidP="008967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 </w:t>
            </w:r>
          </w:p>
        </w:tc>
        <w:tc>
          <w:tcPr>
            <w:tcW w:w="3030" w:type="pct"/>
            <w:shd w:val="clear" w:color="auto" w:fill="auto"/>
            <w:hideMark/>
          </w:tcPr>
          <w:p w:rsidR="009602BC" w:rsidRPr="009602BC" w:rsidRDefault="007835D6" w:rsidP="00C42E8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Vĩnh Long, ngày</w:t>
            </w:r>
            <w:r w:rsidR="00C42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tháng</w:t>
            </w:r>
            <w:r w:rsidR="00C42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/>
              </w:rPr>
              <w:t>năm 2025</w:t>
            </w:r>
          </w:p>
        </w:tc>
      </w:tr>
    </w:tbl>
    <w:p w:rsidR="00AF229F" w:rsidRPr="009602BC" w:rsidRDefault="00AF229F" w:rsidP="00AF22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 </w:t>
      </w:r>
    </w:p>
    <w:p w:rsidR="00280F7F" w:rsidRPr="006440E4" w:rsidRDefault="00AF229F" w:rsidP="00280F7F">
      <w:pPr>
        <w:pStyle w:val="Heading1"/>
        <w:rPr>
          <w:color w:val="000000"/>
          <w:szCs w:val="28"/>
        </w:rPr>
      </w:pPr>
      <w:r w:rsidRPr="009235A0">
        <w:rPr>
          <w:color w:val="000000"/>
          <w:szCs w:val="28"/>
        </w:rPr>
        <w:t>BẢN SO S</w:t>
      </w:r>
      <w:r w:rsidRPr="009602BC">
        <w:rPr>
          <w:color w:val="000000"/>
          <w:szCs w:val="28"/>
        </w:rPr>
        <w:t>ÁNH, THUY</w:t>
      </w:r>
      <w:r w:rsidRPr="009235A0">
        <w:rPr>
          <w:color w:val="000000"/>
          <w:szCs w:val="28"/>
        </w:rPr>
        <w:t>ẾT MINH DỰ THẢO VĂN BẢN QUY PHẠM PH</w:t>
      </w:r>
      <w:r w:rsidRPr="009602BC">
        <w:rPr>
          <w:color w:val="000000"/>
          <w:szCs w:val="28"/>
        </w:rPr>
        <w:t>ÁP LU</w:t>
      </w:r>
      <w:r w:rsidRPr="009235A0">
        <w:rPr>
          <w:color w:val="000000"/>
          <w:szCs w:val="28"/>
        </w:rPr>
        <w:t xml:space="preserve">ẬT </w:t>
      </w:r>
      <w:r w:rsidR="005C41DC" w:rsidRPr="009235A0">
        <w:rPr>
          <w:color w:val="000000"/>
          <w:szCs w:val="28"/>
        </w:rPr>
        <w:t>QUY Đ</w:t>
      </w:r>
      <w:r w:rsidR="007835D6" w:rsidRPr="009235A0">
        <w:rPr>
          <w:color w:val="000000"/>
          <w:szCs w:val="28"/>
        </w:rPr>
        <w:t>Ị</w:t>
      </w:r>
      <w:r w:rsidR="005C41DC" w:rsidRPr="009235A0">
        <w:rPr>
          <w:color w:val="000000"/>
          <w:szCs w:val="28"/>
        </w:rPr>
        <w:t>NH VIỆC CẤ</w:t>
      </w:r>
      <w:r w:rsidR="007835D6" w:rsidRPr="009235A0">
        <w:rPr>
          <w:color w:val="000000"/>
          <w:szCs w:val="28"/>
        </w:rPr>
        <w:t>P GIẤY PHÉP ĐỐI VỚI CÁC HOẠT ĐỘNG LI</w:t>
      </w:r>
      <w:r w:rsidR="005C41DC" w:rsidRPr="009235A0">
        <w:rPr>
          <w:color w:val="000000"/>
          <w:szCs w:val="28"/>
        </w:rPr>
        <w:t>ÊN QUAN ĐẾN ĐÊ Đ</w:t>
      </w:r>
      <w:r w:rsidR="007835D6" w:rsidRPr="009235A0">
        <w:rPr>
          <w:color w:val="000000"/>
          <w:szCs w:val="28"/>
        </w:rPr>
        <w:t>IỀU TRÊN ĐỊA BÀN TỈNH VĨNH LONG</w:t>
      </w:r>
    </w:p>
    <w:p w:rsidR="00AF229F" w:rsidRPr="009235A0" w:rsidRDefault="00AF229F" w:rsidP="007835D6">
      <w:pPr>
        <w:shd w:val="clear" w:color="auto" w:fill="FFFFFF"/>
        <w:spacing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 VĂN BẢN QUY PHẠM PH</w:t>
      </w:r>
      <w:r w:rsidRPr="00960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ÁP LU</w:t>
      </w:r>
      <w:r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ẬT </w:t>
      </w:r>
      <w:r w:rsidR="009235A0"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QUY ĐỊNH </w:t>
      </w:r>
      <w:r w:rsid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 DỊNH VIỆC CẤP GIẤY PHÉ</w:t>
      </w:r>
      <w:r w:rsidR="009235A0"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 </w:t>
      </w:r>
      <w:r w:rsid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 VỚI CÁ</w:t>
      </w:r>
      <w:r w:rsidR="009235A0"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 HOẠT </w:t>
      </w:r>
      <w:r w:rsid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 LIÊN QUAN Đ</w:t>
      </w:r>
      <w:r w:rsidR="009235A0"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ẾN </w:t>
      </w:r>
      <w:r w:rsid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ĐÊ ĐIỀU TRÊ</w:t>
      </w:r>
      <w:r w:rsidR="009235A0"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 </w:t>
      </w:r>
      <w:r w:rsid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 BÀ</w:t>
      </w:r>
      <w:r w:rsidR="009235A0" w:rsidRPr="00923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TỈNH BẾN TRE</w:t>
      </w:r>
      <w:r w:rsidR="009235A0" w:rsidRPr="00960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1"/>
        <w:gridCol w:w="4301"/>
        <w:gridCol w:w="5130"/>
      </w:tblGrid>
      <w:tr w:rsidR="000F3B6B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  <w:vAlign w:val="center"/>
            <w:hideMark/>
          </w:tcPr>
          <w:p w:rsidR="009602BC" w:rsidRPr="009602BC" w:rsidRDefault="009235A0" w:rsidP="008967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QUY DỊNH VIỆC CẤP GIẤY PHÉ</w:t>
            </w:r>
            <w:r w:rsidRPr="0092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ĐỐI VỚI CÁ</w:t>
            </w:r>
            <w:r w:rsidRPr="0092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 HOẠT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 LIÊN QUAN Đ</w:t>
            </w:r>
            <w:r w:rsidRPr="0092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ẾN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ĐÊ ĐIỀU TRÊ</w:t>
            </w:r>
            <w:r w:rsidRPr="0092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 BÀ</w:t>
            </w:r>
            <w:r w:rsidRPr="0092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 TỈNH BẾN TRE</w:t>
            </w:r>
          </w:p>
        </w:tc>
        <w:tc>
          <w:tcPr>
            <w:tcW w:w="1582" w:type="pct"/>
            <w:shd w:val="clear" w:color="auto" w:fill="auto"/>
            <w:vAlign w:val="center"/>
            <w:hideMark/>
          </w:tcPr>
          <w:p w:rsidR="009602BC" w:rsidRPr="009602BC" w:rsidRDefault="009235A0" w:rsidP="002C170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QUY ĐỊNH VIỆC CẤP GIẤY PHÉP ĐỐI VỚI CÁC HOẠT ĐỘNG LIÊN QUAN ĐẾN ĐÊ ĐIỀU TRÊN ĐỊA BÀN TỈNH VĨNH LONG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9602BC" w:rsidRPr="009602BC" w:rsidRDefault="00AF229F" w:rsidP="008967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THUY</w:t>
            </w: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ẾT MINH</w:t>
            </w:r>
          </w:p>
        </w:tc>
      </w:tr>
      <w:tr w:rsidR="000F3B6B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  <w:hideMark/>
          </w:tcPr>
          <w:p w:rsidR="009602BC" w:rsidRDefault="00AF229F" w:rsidP="0045184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Điều</w:t>
            </w: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1.</w:t>
            </w:r>
            <w:r w:rsidR="00451849" w:rsidRPr="00451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Phạm vi điều chỉnh</w:t>
            </w:r>
          </w:p>
          <w:p w:rsidR="005C41DC" w:rsidRPr="005C41DC" w:rsidRDefault="005C41DC" w:rsidP="005C41D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  <w:hideMark/>
          </w:tcPr>
          <w:p w:rsidR="009602BC" w:rsidRPr="00451849" w:rsidRDefault="00AF229F" w:rsidP="00451849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Điều</w:t>
            </w: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1.</w:t>
            </w:r>
            <w:r w:rsidR="0045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51849" w:rsidRPr="00451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Phạm vi điều chỉnh</w:t>
            </w:r>
          </w:p>
          <w:p w:rsidR="005C41DC" w:rsidRPr="005C41DC" w:rsidRDefault="005C41DC" w:rsidP="005C41D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shd w:val="clear" w:color="auto" w:fill="auto"/>
            <w:hideMark/>
          </w:tcPr>
          <w:p w:rsidR="009602BC" w:rsidRPr="009602BC" w:rsidRDefault="00DB7A59" w:rsidP="002C170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41DC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Quy định việc cấp giấy phép đối với các hoạt động liên quan đến đê điều trên địa bàn tỉ</w:t>
            </w:r>
            <w:r w:rsidR="002C170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 V</w:t>
            </w:r>
            <w:r w:rsidRPr="005C41DC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ĩ</w:t>
            </w:r>
            <w:r w:rsidR="002C1706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 L</w:t>
            </w:r>
            <w:r w:rsidRPr="005C41DC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ong</w:t>
            </w:r>
            <w:r w:rsidRPr="0096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được kế thừa theo Quyết định </w:t>
            </w:r>
            <w:r w:rsidR="0009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03/QĐ-UBND ngày 17 tháng 01 năm 2012 của Ủy ban nhân dân tỉnh Bến Tre, tuy nhiên có thay đổi </w:t>
            </w:r>
            <w:r w:rsidR="002C1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phạm vi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>địa giới hành chính</w:t>
            </w:r>
            <w:r w:rsidR="002C1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(tỉnh Vĩnh Long mới sau sáp nhập)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. </w:t>
            </w:r>
          </w:p>
        </w:tc>
      </w:tr>
      <w:tr w:rsidR="000F3B6B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  <w:hideMark/>
          </w:tcPr>
          <w:p w:rsidR="009602BC" w:rsidRPr="009602BC" w:rsidRDefault="00AF22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Điều</w:t>
            </w: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2</w:t>
            </w:r>
            <w:r w:rsidRPr="0009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.</w:t>
            </w:r>
            <w:r w:rsidR="0009716A" w:rsidRPr="00097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Đối tượng áp dụng</w:t>
            </w:r>
          </w:p>
        </w:tc>
        <w:tc>
          <w:tcPr>
            <w:tcW w:w="1582" w:type="pct"/>
            <w:shd w:val="clear" w:color="auto" w:fill="auto"/>
            <w:hideMark/>
          </w:tcPr>
          <w:p w:rsidR="009602BC" w:rsidRPr="0009716A" w:rsidRDefault="00AF22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Điều</w:t>
            </w:r>
            <w:r w:rsidRPr="00960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2.</w:t>
            </w:r>
            <w:r w:rsidR="0009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9716A" w:rsidRPr="00097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Đối tượng áp dụng</w:t>
            </w:r>
          </w:p>
        </w:tc>
        <w:tc>
          <w:tcPr>
            <w:tcW w:w="1887" w:type="pct"/>
            <w:shd w:val="clear" w:color="auto" w:fill="auto"/>
            <w:hideMark/>
          </w:tcPr>
          <w:p w:rsidR="00853520" w:rsidRDefault="00853520" w:rsidP="0085352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>Dự thảo kế thừa từ khoản 1 đến khoản 4 Điều 2</w:t>
            </w:r>
            <w:r w:rsidR="00707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của quy định hiện hành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, tuy nhiên có bổ sung nội dung từ khoản </w:t>
            </w:r>
            <w:r w:rsidR="00707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đến khoản 8, cụ thể như sau:</w:t>
            </w:r>
          </w:p>
          <w:p w:rsidR="00853520" w:rsidRPr="00853520" w:rsidRDefault="00853520" w:rsidP="00853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5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Khai thác đất, đá, cát, sỏi, khoáng sản </w:t>
            </w:r>
            <w:r w:rsidRPr="008535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khác ở lòng sông trong phạm vi bảo vệ đê điều;</w:t>
            </w:r>
          </w:p>
          <w:p w:rsidR="00853520" w:rsidRPr="00853520" w:rsidRDefault="00853520" w:rsidP="00853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520">
              <w:rPr>
                <w:rFonts w:ascii="Times New Roman" w:eastAsia="Times New Roman" w:hAnsi="Times New Roman" w:cs="Times New Roman"/>
                <w:sz w:val="28"/>
                <w:szCs w:val="28"/>
              </w:rPr>
              <w:t>7. Để vật liệu, khai thác đất, đá, cát, sỏi, khoáng sản khác, đào ao, giếng ở bãi sông trong phạm vi bảo vệ đê điều;</w:t>
            </w:r>
          </w:p>
          <w:p w:rsidR="009602BC" w:rsidRPr="009602BC" w:rsidRDefault="00853520" w:rsidP="0085352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3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Nạo vét luồng lạch trong phạm vi bảo vệ đê điều.</w:t>
            </w:r>
            <w:r w:rsidR="00AF229F" w:rsidRPr="0096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</w:p>
        </w:tc>
      </w:tr>
      <w:tr w:rsidR="002F333C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2F333C" w:rsidRPr="00F1499F" w:rsidRDefault="002F333C" w:rsidP="002475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207976693"/>
            <w:r w:rsidRPr="00F149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Điều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Thẩm </w:t>
            </w:r>
            <w:r w:rsidRPr="00F149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quyền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cấp, đình chỉ, </w:t>
            </w:r>
            <w:r w:rsidRPr="00F149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khôi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phục và thu hồi giấy phép </w:t>
            </w:r>
          </w:p>
          <w:bookmarkEnd w:id="0"/>
          <w:p w:rsidR="002F333C" w:rsidRPr="00F1499F" w:rsidRDefault="002F333C" w:rsidP="002475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</w:tcPr>
          <w:p w:rsidR="002F333C" w:rsidRPr="00F1499F" w:rsidRDefault="002F333C" w:rsidP="00247582">
            <w:pPr>
              <w:pStyle w:val="Heading20"/>
              <w:keepNext/>
              <w:keepLines/>
              <w:shd w:val="clear" w:color="auto" w:fill="auto"/>
              <w:spacing w:before="120" w:after="63" w:line="313" w:lineRule="exact"/>
              <w:ind w:firstLine="0"/>
              <w:jc w:val="both"/>
              <w:rPr>
                <w:sz w:val="28"/>
                <w:szCs w:val="28"/>
              </w:rPr>
            </w:pPr>
            <w:bookmarkStart w:id="1" w:name="bookmark9"/>
            <w:r w:rsidRPr="00F1499F">
              <w:rPr>
                <w:sz w:val="28"/>
                <w:szCs w:val="28"/>
              </w:rPr>
              <w:t>Điều 3. Thẩm quyền cấp, gia hạn, điều chỉnh nội dung, đình chỉ, khôi phục và thu hồi giấy phép</w:t>
            </w:r>
            <w:bookmarkEnd w:id="1"/>
          </w:p>
          <w:p w:rsidR="002F333C" w:rsidRPr="00F1499F" w:rsidRDefault="002F333C" w:rsidP="002475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shd w:val="clear" w:color="auto" w:fill="auto"/>
          </w:tcPr>
          <w:p w:rsidR="002F333C" w:rsidRPr="00EE2D1D" w:rsidRDefault="002F333C" w:rsidP="007070C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> </w:t>
            </w:r>
            <w:r w:rsidR="00707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ửa đổi tên Điều 3 so với Quyết định số 03/QĐ-UBND ngày 17 tháng 01 năm 2012 của UBND tỉnh Bến Tre, cụ thể như sau: bỏ </w:t>
            </w:r>
            <w:r w:rsidR="00707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 hạn, điều chỉnh nội dung.</w:t>
            </w:r>
          </w:p>
        </w:tc>
      </w:tr>
      <w:tr w:rsidR="00F1499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7070C4" w:rsidRPr="00F1499F" w:rsidRDefault="007070C4" w:rsidP="007070C4">
            <w:pPr>
              <w:pStyle w:val="Bodytext40"/>
              <w:shd w:val="clear" w:color="auto" w:fill="auto"/>
              <w:spacing w:before="12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4.</w:t>
            </w:r>
            <w:r w:rsidRPr="00F1499F">
              <w:rPr>
                <w:sz w:val="28"/>
                <w:szCs w:val="28"/>
              </w:rPr>
              <w:t xml:space="preserve"> Cơ quan tiếp nhận, thẩm định hồ sơ</w:t>
            </w:r>
            <w:r>
              <w:rPr>
                <w:sz w:val="28"/>
                <w:szCs w:val="28"/>
              </w:rPr>
              <w:t xml:space="preserve"> xin cấp giấy phép, gia hạn, điề</w:t>
            </w:r>
            <w:r w:rsidRPr="00F1499F">
              <w:rPr>
                <w:sz w:val="28"/>
                <w:szCs w:val="28"/>
              </w:rPr>
              <w:t>u chỉnh nội dung, đình chỉ, khôi phục và thu hôi giây phép</w:t>
            </w:r>
          </w:p>
          <w:p w:rsidR="00F1499F" w:rsidRPr="002F333C" w:rsidRDefault="00F1499F" w:rsidP="007070C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</w:tcPr>
          <w:p w:rsidR="007070C4" w:rsidRPr="00F1499F" w:rsidRDefault="007070C4" w:rsidP="007070C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207976702"/>
            <w:r w:rsidRPr="00F149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Điều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Cơ quan tiếp nhận, thẩm định hồ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sơ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nghị cấp giấy phép, đình chỉ, khôi phục và t</w:t>
            </w:r>
            <w:bookmarkStart w:id="3" w:name="_GoBack"/>
            <w:bookmarkEnd w:id="3"/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hu hồi giấy phép </w:t>
            </w:r>
          </w:p>
          <w:bookmarkEnd w:id="2"/>
          <w:p w:rsidR="00F1499F" w:rsidRPr="002F333C" w:rsidRDefault="00F149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shd w:val="clear" w:color="auto" w:fill="auto"/>
          </w:tcPr>
          <w:p w:rsidR="00F1499F" w:rsidRPr="007070C4" w:rsidRDefault="00F1499F" w:rsidP="007070C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Dự </w:t>
            </w:r>
            <w:r w:rsidR="002C1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hảo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sửa đổi tên Điều 4 và phần nội dung  so với Quyết định số 03/QĐ-UBND ngày 17 tháng 01 năm 2012 của UBND tỉnh Bến Tre, cụ thể như sau: </w:t>
            </w:r>
            <w:r w:rsidR="00707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707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ỏ phần gia hạn, điều chỉnh nội dung.</w:t>
            </w:r>
          </w:p>
        </w:tc>
      </w:tr>
      <w:tr w:rsidR="00F1499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F1499F" w:rsidRPr="00F1499F" w:rsidRDefault="00F1499F" w:rsidP="00F149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207977707"/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Điều 5. Hồ sơ đề nghị cấp giấy phép </w:t>
            </w:r>
          </w:p>
          <w:bookmarkEnd w:id="4"/>
          <w:p w:rsidR="00F1499F" w:rsidRPr="002F333C" w:rsidRDefault="00F149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</w:tcPr>
          <w:p w:rsidR="00F1499F" w:rsidRPr="00F1499F" w:rsidRDefault="00F1499F" w:rsidP="00F149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Điều 5. Hồ sơ đề nghị cấp giấy phép </w:t>
            </w:r>
          </w:p>
          <w:p w:rsidR="00F1499F" w:rsidRPr="002F333C" w:rsidRDefault="00F149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shd w:val="clear" w:color="auto" w:fill="auto"/>
          </w:tcPr>
          <w:p w:rsidR="00F1499F" w:rsidRPr="00EE2D1D" w:rsidRDefault="00F1499F" w:rsidP="00EE2D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thảo kế thừa theo Quyết định số 03/QĐ-UBND ngày 17 tháng 01 năm 2012 của UBND tỉnh Bến Tre</w:t>
            </w:r>
          </w:p>
        </w:tc>
      </w:tr>
      <w:tr w:rsidR="00F1499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F1499F" w:rsidRPr="00F1499F" w:rsidRDefault="00F1499F" w:rsidP="00F149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5" w:name="_Hlk207977719"/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Điều 6. Trình </w:t>
            </w:r>
            <w:r w:rsidRPr="00F149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tự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 giấy phép </w:t>
            </w:r>
          </w:p>
          <w:bookmarkEnd w:id="5"/>
          <w:p w:rsidR="00F1499F" w:rsidRPr="002F333C" w:rsidRDefault="00F149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</w:tcPr>
          <w:p w:rsidR="00F1499F" w:rsidRPr="00F1499F" w:rsidRDefault="00F1499F" w:rsidP="00F149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Điều 6. Trình </w:t>
            </w:r>
            <w:r w:rsidRPr="00F149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tự </w:t>
            </w:r>
            <w:r w:rsidRPr="00F14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 giấy phép </w:t>
            </w:r>
          </w:p>
          <w:p w:rsidR="00F1499F" w:rsidRPr="002F333C" w:rsidRDefault="00F149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shd w:val="clear" w:color="auto" w:fill="auto"/>
          </w:tcPr>
          <w:p w:rsidR="00F1499F" w:rsidRPr="00EE2D1D" w:rsidRDefault="00B55855" w:rsidP="00EE2D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thảo kế thừa theo Quyết định số 03/QĐ-UBND ngày 17 tháng 01 năm 2012 của UBND tỉnh Bến Tre</w:t>
            </w:r>
          </w:p>
        </w:tc>
      </w:tr>
      <w:tr w:rsidR="00F1499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7070C4" w:rsidRPr="00B55855" w:rsidRDefault="007070C4" w:rsidP="007070C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B55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Điều 7. Hồ sơ xin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gia hạn, điều chỉnh nội dung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giấy</w:t>
            </w:r>
            <w:r w:rsidRPr="00B55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 phép</w:t>
            </w:r>
          </w:p>
          <w:p w:rsidR="00F1499F" w:rsidRPr="002F333C" w:rsidRDefault="00F1499F" w:rsidP="007070C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</w:tcPr>
          <w:p w:rsidR="007070C4" w:rsidRPr="00B55855" w:rsidRDefault="007070C4" w:rsidP="007070C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lk207977797"/>
            <w:r w:rsidRPr="00B55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Điều 7. Đình chỉ hiệu lực sử dụng của giấy phép </w:t>
            </w:r>
          </w:p>
          <w:bookmarkEnd w:id="6"/>
          <w:p w:rsidR="00F1499F" w:rsidRPr="00C978DE" w:rsidRDefault="00F1499F" w:rsidP="00C978DE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887" w:type="pct"/>
            <w:shd w:val="clear" w:color="auto" w:fill="auto"/>
          </w:tcPr>
          <w:p w:rsidR="00F1499F" w:rsidRPr="00EE2D1D" w:rsidRDefault="00D34B4F" w:rsidP="00C42E8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Dự thảo </w:t>
            </w:r>
            <w:r w:rsidR="00C42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 thừa Điều 9 của quy định hiện hành</w:t>
            </w:r>
            <w:r w:rsidR="0047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1499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7070C4" w:rsidRPr="00472C52" w:rsidRDefault="007070C4" w:rsidP="007070C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bookmarkStart w:id="7" w:name="_Hlk207977807"/>
            <w:r w:rsidRPr="00472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lastRenderedPageBreak/>
              <w:t>Đỉều 8. Trình tự xin gia hạn, điều chỉnh nôi dung giấy phép</w:t>
            </w:r>
          </w:p>
          <w:bookmarkEnd w:id="7"/>
          <w:p w:rsidR="00F1499F" w:rsidRPr="002F333C" w:rsidRDefault="00F1499F" w:rsidP="00D34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pct"/>
            <w:shd w:val="clear" w:color="auto" w:fill="auto"/>
          </w:tcPr>
          <w:p w:rsidR="00C978DE" w:rsidRPr="00C978DE" w:rsidRDefault="00C978DE" w:rsidP="00C978D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C9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Điều </w:t>
            </w:r>
            <w:r w:rsidR="00D34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8</w:t>
            </w:r>
            <w:r w:rsidRPr="00C97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. Khôi phục hiệu lực sử dụng giấy của phép</w:t>
            </w:r>
          </w:p>
          <w:p w:rsidR="00F1499F" w:rsidRPr="002F333C" w:rsidRDefault="00F1499F" w:rsidP="0089675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pct"/>
            <w:shd w:val="clear" w:color="auto" w:fill="auto"/>
          </w:tcPr>
          <w:p w:rsidR="00F1499F" w:rsidRPr="00EE2D1D" w:rsidRDefault="00C42E8F" w:rsidP="00C4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Dự thảo kế thừa Điều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của quy định hiện hành</w:t>
            </w:r>
          </w:p>
        </w:tc>
      </w:tr>
      <w:tr w:rsidR="00D34B4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D34B4F" w:rsidRPr="00D34B4F" w:rsidRDefault="00D34B4F" w:rsidP="00D34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472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Điều 9. Đình chỉ hỉệu lực sử dụng của giấy phép</w:t>
            </w:r>
            <w:r w:rsidRPr="00D34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</w:p>
          <w:p w:rsidR="00D34B4F" w:rsidRPr="00472C52" w:rsidRDefault="00D34B4F" w:rsidP="007070C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</w:p>
        </w:tc>
        <w:tc>
          <w:tcPr>
            <w:tcW w:w="1582" w:type="pct"/>
            <w:shd w:val="clear" w:color="auto" w:fill="auto"/>
          </w:tcPr>
          <w:p w:rsidR="00D34B4F" w:rsidRPr="00D34B4F" w:rsidRDefault="00D34B4F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D34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34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Điều 9. Thu hồi giấy phép </w:t>
            </w:r>
          </w:p>
          <w:p w:rsidR="00D34B4F" w:rsidRPr="00C978DE" w:rsidRDefault="00D34B4F" w:rsidP="00C978D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</w:p>
        </w:tc>
        <w:tc>
          <w:tcPr>
            <w:tcW w:w="1887" w:type="pct"/>
            <w:shd w:val="clear" w:color="auto" w:fill="auto"/>
          </w:tcPr>
          <w:p w:rsidR="00D34B4F" w:rsidRDefault="009235A0" w:rsidP="009235A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Dự thảo kế thừa Điều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của quy định hiện hành</w:t>
            </w:r>
          </w:p>
        </w:tc>
      </w:tr>
      <w:tr w:rsidR="00D34B4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D34B4F" w:rsidRPr="00D34B4F" w:rsidRDefault="00D34B4F" w:rsidP="00D34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10. Khôi phục hiệu lực</w:t>
            </w:r>
            <w:r w:rsidR="00C42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sử dụng giấy phép</w:t>
            </w:r>
          </w:p>
        </w:tc>
        <w:tc>
          <w:tcPr>
            <w:tcW w:w="1582" w:type="pct"/>
            <w:shd w:val="clear" w:color="auto" w:fill="auto"/>
          </w:tcPr>
          <w:p w:rsidR="00D34B4F" w:rsidRPr="00D34B4F" w:rsidRDefault="00D34B4F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bookmarkStart w:id="8" w:name="_Hlk207977851"/>
            <w:r w:rsidRPr="00D34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10. Tổ chức thực hiện </w:t>
            </w:r>
          </w:p>
          <w:bookmarkEnd w:id="8"/>
          <w:p w:rsidR="00D34B4F" w:rsidRPr="00D34B4F" w:rsidRDefault="00D34B4F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</w:p>
        </w:tc>
        <w:tc>
          <w:tcPr>
            <w:tcW w:w="1887" w:type="pct"/>
            <w:shd w:val="clear" w:color="auto" w:fill="auto"/>
          </w:tcPr>
          <w:p w:rsidR="00D34B4F" w:rsidRDefault="009235A0" w:rsidP="009235A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thảo kế thừa Điều 9 của quy định hiện hành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trong đó có điều chỉnh tên đơn vị mới (Sở Nông nghiệp và PTNT thành Sở Nông nghiệp và Môi trường)</w:t>
            </w:r>
          </w:p>
        </w:tc>
      </w:tr>
      <w:tr w:rsidR="00C42E8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C42E8F" w:rsidRDefault="00C42E8F" w:rsidP="00D34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11. Thu hồi giấy phép</w:t>
            </w:r>
          </w:p>
        </w:tc>
        <w:tc>
          <w:tcPr>
            <w:tcW w:w="1582" w:type="pct"/>
            <w:shd w:val="clear" w:color="auto" w:fill="auto"/>
          </w:tcPr>
          <w:p w:rsidR="00C42E8F" w:rsidRPr="00C42E8F" w:rsidRDefault="00C42E8F" w:rsidP="00C4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bookmarkStart w:id="9" w:name="_Hlk207977861"/>
            <w:r w:rsidRPr="00C42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11. Quy định chuyển tiếp</w:t>
            </w:r>
          </w:p>
          <w:bookmarkEnd w:id="9"/>
          <w:p w:rsidR="00C42E8F" w:rsidRPr="00D34B4F" w:rsidRDefault="00C42E8F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887" w:type="pct"/>
            <w:shd w:val="clear" w:color="auto" w:fill="auto"/>
          </w:tcPr>
          <w:p w:rsidR="00C42E8F" w:rsidRDefault="009235A0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thảo quy định mới so với quy định hiện hành</w:t>
            </w:r>
          </w:p>
        </w:tc>
      </w:tr>
      <w:tr w:rsidR="00C42E8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C42E8F" w:rsidRDefault="00C42E8F" w:rsidP="00D34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12. Miễn cấp phép</w:t>
            </w:r>
          </w:p>
        </w:tc>
        <w:tc>
          <w:tcPr>
            <w:tcW w:w="1582" w:type="pct"/>
            <w:shd w:val="clear" w:color="auto" w:fill="auto"/>
          </w:tcPr>
          <w:p w:rsidR="00C42E8F" w:rsidRPr="00C42E8F" w:rsidRDefault="00C42E8F" w:rsidP="00C4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bookmarkStart w:id="10" w:name="_Hlk207977870"/>
            <w:r w:rsidRPr="00C42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12. Sửa đổi, bổ sung</w:t>
            </w:r>
          </w:p>
          <w:bookmarkEnd w:id="10"/>
          <w:p w:rsidR="00C42E8F" w:rsidRPr="00D34B4F" w:rsidRDefault="00C42E8F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887" w:type="pct"/>
            <w:shd w:val="clear" w:color="auto" w:fill="auto"/>
          </w:tcPr>
          <w:p w:rsidR="00C42E8F" w:rsidRDefault="009235A0" w:rsidP="00D34B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thảo quy định mới so với quy định hiện hành</w:t>
            </w:r>
          </w:p>
        </w:tc>
      </w:tr>
      <w:tr w:rsidR="00C42E8F" w:rsidRPr="009602BC" w:rsidTr="009235A0">
        <w:trPr>
          <w:tblCellSpacing w:w="0" w:type="dxa"/>
        </w:trPr>
        <w:tc>
          <w:tcPr>
            <w:tcW w:w="1531" w:type="pct"/>
            <w:shd w:val="clear" w:color="auto" w:fill="auto"/>
          </w:tcPr>
          <w:p w:rsidR="00C42E8F" w:rsidRDefault="00C42E8F" w:rsidP="00D34B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Điều 13. Tổ chức thực hiện</w:t>
            </w:r>
          </w:p>
        </w:tc>
        <w:tc>
          <w:tcPr>
            <w:tcW w:w="1582" w:type="pct"/>
            <w:shd w:val="clear" w:color="auto" w:fill="auto"/>
          </w:tcPr>
          <w:p w:rsidR="00C42E8F" w:rsidRPr="00D34B4F" w:rsidRDefault="009235A0" w:rsidP="00923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-</w:t>
            </w:r>
          </w:p>
        </w:tc>
        <w:tc>
          <w:tcPr>
            <w:tcW w:w="1887" w:type="pct"/>
            <w:shd w:val="clear" w:color="auto" w:fill="auto"/>
          </w:tcPr>
          <w:p w:rsidR="00C42E8F" w:rsidRDefault="009235A0" w:rsidP="00923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CE4B3B" w:rsidRDefault="00CE4B3B"/>
    <w:sectPr w:rsidR="00CE4B3B" w:rsidSect="002C1706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737B1"/>
    <w:multiLevelType w:val="hybridMultilevel"/>
    <w:tmpl w:val="2AA2186E"/>
    <w:lvl w:ilvl="0" w:tplc="8C285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9F"/>
    <w:rsid w:val="0009716A"/>
    <w:rsid w:val="000F3B6B"/>
    <w:rsid w:val="00280F7F"/>
    <w:rsid w:val="002C1706"/>
    <w:rsid w:val="002F333C"/>
    <w:rsid w:val="00431D6E"/>
    <w:rsid w:val="00451849"/>
    <w:rsid w:val="00472C52"/>
    <w:rsid w:val="005C41DC"/>
    <w:rsid w:val="007070C4"/>
    <w:rsid w:val="007835D6"/>
    <w:rsid w:val="00853520"/>
    <w:rsid w:val="009235A0"/>
    <w:rsid w:val="00AF229F"/>
    <w:rsid w:val="00B422C6"/>
    <w:rsid w:val="00B55855"/>
    <w:rsid w:val="00C153E8"/>
    <w:rsid w:val="00C42E8F"/>
    <w:rsid w:val="00C978DE"/>
    <w:rsid w:val="00CE4B3B"/>
    <w:rsid w:val="00D14E10"/>
    <w:rsid w:val="00D34B4F"/>
    <w:rsid w:val="00DB7A59"/>
    <w:rsid w:val="00EE2D1D"/>
    <w:rsid w:val="00F1499F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29F"/>
  </w:style>
  <w:style w:type="paragraph" w:styleId="Heading1">
    <w:name w:val="heading 1"/>
    <w:basedOn w:val="Normal"/>
    <w:next w:val="Normal"/>
    <w:link w:val="Heading1Char"/>
    <w:qFormat/>
    <w:rsid w:val="00280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F7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">
    <w:name w:val="Heading #2_"/>
    <w:basedOn w:val="DefaultParagraphFont"/>
    <w:link w:val="Heading20"/>
    <w:rsid w:val="000F3B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0F3B6B"/>
    <w:pPr>
      <w:widowControl w:val="0"/>
      <w:shd w:val="clear" w:color="auto" w:fill="FFFFFF"/>
      <w:spacing w:before="600" w:after="300" w:line="0" w:lineRule="atLeast"/>
      <w:ind w:hanging="7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4">
    <w:name w:val="Body text (4)_"/>
    <w:basedOn w:val="DefaultParagraphFont"/>
    <w:link w:val="Bodytext40"/>
    <w:rsid w:val="00F149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1499F"/>
    <w:pPr>
      <w:widowControl w:val="0"/>
      <w:shd w:val="clear" w:color="auto" w:fill="FFFFFF"/>
      <w:spacing w:before="600" w:after="0" w:line="29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2C1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29F"/>
  </w:style>
  <w:style w:type="paragraph" w:styleId="Heading1">
    <w:name w:val="heading 1"/>
    <w:basedOn w:val="Normal"/>
    <w:next w:val="Normal"/>
    <w:link w:val="Heading1Char"/>
    <w:qFormat/>
    <w:rsid w:val="00280F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F7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">
    <w:name w:val="Heading #2_"/>
    <w:basedOn w:val="DefaultParagraphFont"/>
    <w:link w:val="Heading20"/>
    <w:rsid w:val="000F3B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0F3B6B"/>
    <w:pPr>
      <w:widowControl w:val="0"/>
      <w:shd w:val="clear" w:color="auto" w:fill="FFFFFF"/>
      <w:spacing w:before="600" w:after="300" w:line="0" w:lineRule="atLeast"/>
      <w:ind w:hanging="7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4">
    <w:name w:val="Body text (4)_"/>
    <w:basedOn w:val="DefaultParagraphFont"/>
    <w:link w:val="Bodytext40"/>
    <w:rsid w:val="00F149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1499F"/>
    <w:pPr>
      <w:widowControl w:val="0"/>
      <w:shd w:val="clear" w:color="auto" w:fill="FFFFFF"/>
      <w:spacing w:before="600" w:after="0" w:line="29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2C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2025-09-30T09:07:00Z</dcterms:created>
  <dcterms:modified xsi:type="dcterms:W3CDTF">2025-09-30T09:07:00Z</dcterms:modified>
</cp:coreProperties>
</file>